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3A5D2" w14:textId="35C8C763" w:rsidR="00095177" w:rsidRPr="00F07E65" w:rsidRDefault="0083102D" w:rsidP="00095177">
      <w:pPr>
        <w:jc w:val="both"/>
        <w:rPr>
          <w:rFonts w:ascii="Tahoma" w:hAnsi="Tahoma"/>
          <w:b/>
          <w:color w:val="17365D" w:themeColor="text2" w:themeShade="BF"/>
          <w:sz w:val="22"/>
          <w:szCs w:val="22"/>
        </w:rPr>
      </w:pPr>
      <w:r w:rsidRPr="00F07E65">
        <w:rPr>
          <w:rFonts w:ascii="Tahoma" w:hAnsi="Tahoma"/>
          <w:b/>
          <w:color w:val="17365D" w:themeColor="text2" w:themeShade="BF"/>
          <w:sz w:val="22"/>
          <w:szCs w:val="22"/>
        </w:rPr>
        <w:t xml:space="preserve">A Bonfiglioli lança ECGenius, a sua transmissão variável contínua, na Bauma 2019 </w:t>
      </w:r>
    </w:p>
    <w:p w14:paraId="62ED1A71" w14:textId="77777777" w:rsidR="00095177" w:rsidRPr="00F07E65" w:rsidRDefault="00095177" w:rsidP="00095177">
      <w:pPr>
        <w:jc w:val="both"/>
        <w:rPr>
          <w:rFonts w:ascii="Tahoma" w:hAnsi="Tahoma"/>
          <w:b/>
          <w:color w:val="17365D" w:themeColor="text2" w:themeShade="BF"/>
          <w:sz w:val="22"/>
          <w:szCs w:val="22"/>
        </w:rPr>
      </w:pPr>
    </w:p>
    <w:p w14:paraId="3D1C40E2" w14:textId="031E1806" w:rsidR="00095177" w:rsidRPr="00F07E65" w:rsidRDefault="00095177" w:rsidP="00095177">
      <w:pPr>
        <w:jc w:val="both"/>
        <w:rPr>
          <w:rFonts w:ascii="Tahoma" w:hAnsi="Tahoma"/>
          <w:b/>
          <w:color w:val="17365D" w:themeColor="text2" w:themeShade="BF"/>
          <w:sz w:val="22"/>
          <w:szCs w:val="22"/>
        </w:rPr>
      </w:pPr>
      <w:r w:rsidRPr="00F07E65">
        <w:rPr>
          <w:rFonts w:ascii="Tahoma" w:hAnsi="Tahoma"/>
          <w:b/>
          <w:color w:val="17365D" w:themeColor="text2" w:themeShade="BF"/>
          <w:sz w:val="22"/>
          <w:szCs w:val="22"/>
        </w:rPr>
        <w:t>Elevada potência, eficiente e rentável, ECGenius é dedicada a aplicações com manipulador telescópico</w:t>
      </w:r>
    </w:p>
    <w:p w14:paraId="54F99E5D" w14:textId="77777777" w:rsidR="0072492B" w:rsidRPr="00F07E65" w:rsidRDefault="0072492B" w:rsidP="00A23C5F">
      <w:pPr>
        <w:pStyle w:val="Corpodeltesto3"/>
        <w:spacing w:after="0"/>
        <w:jc w:val="both"/>
        <w:rPr>
          <w:rFonts w:ascii="Arial" w:hAnsi="Arial" w:cs="Arial"/>
          <w:noProof/>
          <w:sz w:val="22"/>
          <w:szCs w:val="22"/>
        </w:rPr>
      </w:pPr>
    </w:p>
    <w:p w14:paraId="065EE91F" w14:textId="77777777" w:rsidR="0083102D" w:rsidRPr="00F07E65" w:rsidRDefault="0083102D" w:rsidP="003D6031">
      <w:pPr>
        <w:tabs>
          <w:tab w:val="left" w:pos="2544"/>
        </w:tabs>
        <w:rPr>
          <w:rFonts w:ascii="Tahoma" w:hAnsi="Tahoma" w:cs="Tahoma"/>
          <w:sz w:val="22"/>
        </w:rPr>
      </w:pPr>
    </w:p>
    <w:p w14:paraId="763E29E4" w14:textId="4BFEFA85" w:rsidR="0023330E" w:rsidRPr="00F07E65" w:rsidRDefault="007362B7" w:rsidP="0023330E">
      <w:pPr>
        <w:jc w:val="both"/>
        <w:rPr>
          <w:rFonts w:ascii="Tahoma" w:hAnsi="Tahoma"/>
          <w:b/>
          <w:color w:val="17365D" w:themeColor="text2" w:themeShade="BF"/>
          <w:sz w:val="22"/>
          <w:szCs w:val="22"/>
        </w:rPr>
      </w:pPr>
      <w:r w:rsidRPr="00F07E65">
        <w:rPr>
          <w:rFonts w:ascii="Tahoma" w:hAnsi="Tahoma"/>
          <w:sz w:val="22"/>
        </w:rPr>
        <w:t>ECGenius é uma transmissão variável contínua de elevada potência, eficiente e rentável dedicada a veículos com manipulador telescópico e também adequada a outros equipamentos. O variador mecânico patenteado (Europa, Estados Unidos e Ásia) no centro do presente produto é o resultado de mais de 15 anos de desenvolvimento na CVTCORP, parceiro canadense da Bonfiglioli. Permite aos OEMs</w:t>
      </w:r>
    </w:p>
    <w:p w14:paraId="139A27F3" w14:textId="0528909C" w:rsidR="00095177" w:rsidRPr="00F07E65" w:rsidRDefault="007362B7" w:rsidP="001C251D">
      <w:pPr>
        <w:jc w:val="both"/>
        <w:rPr>
          <w:rFonts w:ascii="Tahoma" w:hAnsi="Tahoma" w:cs="Tahoma"/>
          <w:sz w:val="22"/>
        </w:rPr>
      </w:pPr>
      <w:r w:rsidRPr="00F07E65">
        <w:rPr>
          <w:rFonts w:ascii="Tahoma" w:hAnsi="Tahoma"/>
          <w:sz w:val="22"/>
        </w:rPr>
        <w:t>de reduzir o motor enquanto oferece inigualável facilidade operacional e melhorias de desempenho gerais do veículo na faixa de 20 a 30%. O torque e potência são transferidos diretamente por meio de 6 cilindros acionados, graças à lubrificação eletrodinâmica, que impede o contato metal-metal, assegurando simultaneamente a correta transferência de torque sem patinagem.</w:t>
      </w:r>
    </w:p>
    <w:p w14:paraId="5F0E4411" w14:textId="415619A4" w:rsidR="003D6031" w:rsidRPr="00F07E65" w:rsidRDefault="003D6031" w:rsidP="001C251D">
      <w:pPr>
        <w:jc w:val="both"/>
        <w:rPr>
          <w:rFonts w:ascii="Tahoma" w:hAnsi="Tahoma" w:cs="Tahoma"/>
          <w:sz w:val="22"/>
        </w:rPr>
      </w:pPr>
      <w:bookmarkStart w:id="0" w:name="_GoBack"/>
      <w:bookmarkEnd w:id="0"/>
    </w:p>
    <w:p w14:paraId="6BC03979" w14:textId="6FDCE6E3" w:rsidR="00212AB7" w:rsidRPr="00F07E65" w:rsidRDefault="00212AB7" w:rsidP="001C251D">
      <w:pPr>
        <w:jc w:val="both"/>
        <w:rPr>
          <w:rFonts w:ascii="Tahoma" w:hAnsi="Tahoma" w:cs="Tahoma"/>
          <w:sz w:val="22"/>
        </w:rPr>
      </w:pPr>
      <w:r w:rsidRPr="00F07E65">
        <w:rPr>
          <w:rFonts w:ascii="Tahoma" w:hAnsi="Tahoma"/>
          <w:sz w:val="22"/>
        </w:rPr>
        <w:t>Graças às suas características técnicas especiais, a ECGenius é a transmissão contínua variável mais confiável e eficiente do mercado.</w:t>
      </w:r>
    </w:p>
    <w:p w14:paraId="4490C094" w14:textId="77777777" w:rsidR="00430845" w:rsidRPr="00F07E65" w:rsidRDefault="00430845" w:rsidP="001C251D">
      <w:pPr>
        <w:jc w:val="both"/>
        <w:rPr>
          <w:rFonts w:ascii="Tahoma" w:hAnsi="Tahoma" w:cs="Tahoma"/>
          <w:sz w:val="22"/>
        </w:rPr>
      </w:pPr>
    </w:p>
    <w:p w14:paraId="6F080FE4" w14:textId="7E422853" w:rsidR="00212AB7" w:rsidRPr="00F07E65" w:rsidRDefault="00212AB7" w:rsidP="001C251D">
      <w:pPr>
        <w:jc w:val="both"/>
        <w:rPr>
          <w:rFonts w:ascii="Tahoma" w:hAnsi="Tahoma" w:cs="Tahoma"/>
          <w:sz w:val="22"/>
        </w:rPr>
      </w:pPr>
      <w:r w:rsidRPr="00F07E65">
        <w:rPr>
          <w:rFonts w:ascii="Tahoma" w:hAnsi="Tahoma"/>
          <w:sz w:val="22"/>
        </w:rPr>
        <w:t>O design robusto foi concebido para suportar cargas de choque de aplicações típicas, enquanto o sistema de controle preciso e estável não é afetado de nenhuma forma pelas variações de carga; estes foram testados pela experiência com mais de 500 000 horas de teste acumulados em laboratório e pelas OEMs em aplicações reais.</w:t>
      </w:r>
    </w:p>
    <w:p w14:paraId="4AF401EE" w14:textId="198BCBFA" w:rsidR="00212AB7" w:rsidRPr="00F07E65" w:rsidRDefault="00212AB7" w:rsidP="001C251D">
      <w:pPr>
        <w:jc w:val="both"/>
        <w:rPr>
          <w:rFonts w:ascii="Tahoma" w:hAnsi="Tahoma" w:cs="Tahoma"/>
          <w:sz w:val="22"/>
        </w:rPr>
      </w:pPr>
      <w:r w:rsidRPr="00F07E65">
        <w:rPr>
          <w:rFonts w:ascii="Tahoma" w:hAnsi="Tahoma"/>
          <w:sz w:val="22"/>
        </w:rPr>
        <w:tab/>
      </w:r>
    </w:p>
    <w:p w14:paraId="09D2809C" w14:textId="67E5E1CB" w:rsidR="00212AB7" w:rsidRPr="00F07E65" w:rsidRDefault="004051EC" w:rsidP="001C251D">
      <w:pPr>
        <w:jc w:val="both"/>
        <w:rPr>
          <w:rFonts w:ascii="Tahoma" w:hAnsi="Tahoma" w:cs="Tahoma"/>
          <w:sz w:val="22"/>
        </w:rPr>
      </w:pPr>
      <w:r w:rsidRPr="00F07E65">
        <w:rPr>
          <w:rFonts w:ascii="Tahoma" w:hAnsi="Tahoma"/>
          <w:sz w:val="22"/>
        </w:rPr>
        <w:t>O uso, mecanismo e dados de transmissão do algoritmo da unidade de controle da transmissão garantem a eficiência máxima do veículo e a otimização geral do sistema. O software é de fácil integração e inclui modos de operação especiais para aplicações específicas, resultando na máxima produtividade. A arquitetura aberta e o software personalizável permitem a máxima flexibilidade, para o ajuste a diferentes requisitos geográficos</w:t>
      </w:r>
    </w:p>
    <w:p w14:paraId="2FF1A594" w14:textId="77777777" w:rsidR="00212AB7" w:rsidRPr="00F07E65" w:rsidRDefault="00212AB7" w:rsidP="001C251D">
      <w:pPr>
        <w:jc w:val="both"/>
        <w:rPr>
          <w:rFonts w:ascii="Tahoma" w:hAnsi="Tahoma" w:cs="Tahoma"/>
          <w:sz w:val="22"/>
        </w:rPr>
      </w:pPr>
    </w:p>
    <w:p w14:paraId="4709EA1D" w14:textId="62BA3F36" w:rsidR="007362B7" w:rsidRPr="00F07E65" w:rsidRDefault="00D61A53" w:rsidP="001C251D">
      <w:pPr>
        <w:jc w:val="both"/>
        <w:rPr>
          <w:rFonts w:ascii="Tahoma" w:hAnsi="Tahoma" w:cs="Tahoma"/>
          <w:sz w:val="22"/>
        </w:rPr>
      </w:pPr>
      <w:r w:rsidRPr="00F07E65">
        <w:rPr>
          <w:rFonts w:ascii="Tahoma" w:hAnsi="Tahoma"/>
          <w:sz w:val="22"/>
        </w:rPr>
        <w:t>A arquitetura CVT mecânica da transmissão de tração oferece um deslocamento suave e contínuo, sem passar por um número infinito de velocidades de avanço efetivas. E o design inovador da transmissão com controle avançado e embreagem reduz o número de componentes mecânicos, diminuindo assim as perdas mecânicas e viscosas. O deslocamento contínuo permite que o motor opere no seu ponto de funcionamento ideal, traduzindo-se numa eficiência de combustível.</w:t>
      </w:r>
    </w:p>
    <w:p w14:paraId="2059C56D" w14:textId="77777777" w:rsidR="00D61A53" w:rsidRPr="00F07E65" w:rsidRDefault="00D61A53" w:rsidP="001C251D">
      <w:pPr>
        <w:jc w:val="both"/>
        <w:rPr>
          <w:rFonts w:ascii="Tahoma" w:hAnsi="Tahoma" w:cs="Tahoma"/>
          <w:sz w:val="22"/>
        </w:rPr>
      </w:pPr>
    </w:p>
    <w:p w14:paraId="2A09CABA" w14:textId="7908DF04" w:rsidR="00F360AA" w:rsidRPr="00F07E65" w:rsidRDefault="00095177" w:rsidP="001C251D">
      <w:pPr>
        <w:jc w:val="both"/>
        <w:rPr>
          <w:rFonts w:ascii="Tahoma" w:hAnsi="Tahoma" w:cs="Tahoma"/>
          <w:sz w:val="22"/>
        </w:rPr>
      </w:pPr>
      <w:r w:rsidRPr="00F07E65">
        <w:rPr>
          <w:rFonts w:ascii="Tahoma" w:hAnsi="Tahoma"/>
          <w:sz w:val="22"/>
        </w:rPr>
        <w:t xml:space="preserve">ECGenius é o resultado de um acordo de licenciamento exclusivo entre a Bonfiglioli e a CVTCORP, líder mundial na concepção e desenvolvimento de transmissões contínuas variáveis mecânicas de elevada eficiência e (mCVT) para o mercado todo-o-terreno. Incluído neste acordo de licenciamento está a transferência da produção da </w:t>
      </w:r>
      <w:hyperlink r:id="rId8" w:history="1">
        <w:r w:rsidRPr="00F07E65">
          <w:rPr>
            <w:rFonts w:ascii="Tahoma" w:hAnsi="Tahoma"/>
            <w:sz w:val="22"/>
          </w:rPr>
          <w:t>ECGenius150</w:t>
        </w:r>
      </w:hyperlink>
      <w:r w:rsidRPr="00F07E65">
        <w:rPr>
          <w:rFonts w:ascii="Tahoma" w:hAnsi="Tahoma"/>
          <w:sz w:val="22"/>
        </w:rPr>
        <w:t>, juntamente com o pipeline de vendas atual da CVTCORP com o volume de comercialização previsto para o início de 2020.</w:t>
      </w:r>
    </w:p>
    <w:p w14:paraId="57C09009" w14:textId="77777777" w:rsidR="00B53410" w:rsidRPr="00F07E65" w:rsidRDefault="00B53410" w:rsidP="001C251D">
      <w:pPr>
        <w:jc w:val="both"/>
        <w:rPr>
          <w:rFonts w:ascii="Tahoma" w:hAnsi="Tahoma" w:cs="Tahoma"/>
          <w:sz w:val="22"/>
        </w:rPr>
      </w:pPr>
    </w:p>
    <w:p w14:paraId="7AE02887" w14:textId="631E4456" w:rsidR="0089187A" w:rsidRPr="00F07E65" w:rsidRDefault="00F07E65" w:rsidP="00D231FB">
      <w:pPr>
        <w:rPr>
          <w:rFonts w:ascii="Tahoma" w:hAnsi="Tahoma" w:cs="Tahoma"/>
          <w:sz w:val="22"/>
        </w:rPr>
      </w:pPr>
      <w:hyperlink r:id="rId9" w:history="1">
        <w:r w:rsidR="00E17507" w:rsidRPr="00F07E65">
          <w:rPr>
            <w:rStyle w:val="Collegamentoipertestuale"/>
            <w:rFonts w:ascii="Tahoma" w:hAnsi="Tahoma"/>
            <w:sz w:val="22"/>
          </w:rPr>
          <w:t>www.bonfiglioli.com</w:t>
        </w:r>
      </w:hyperlink>
    </w:p>
    <w:p w14:paraId="3615C6C1" w14:textId="77777777" w:rsidR="0089187A" w:rsidRPr="00F07E65" w:rsidRDefault="0089187A" w:rsidP="00D231FB">
      <w:pPr>
        <w:rPr>
          <w:rFonts w:ascii="Tahoma" w:hAnsi="Tahoma" w:cs="Tahoma"/>
          <w:sz w:val="22"/>
        </w:rPr>
      </w:pPr>
    </w:p>
    <w:p w14:paraId="6F9F94D5" w14:textId="175F5FF4" w:rsidR="0089187A" w:rsidRPr="00F07E65" w:rsidRDefault="0089187A" w:rsidP="0089187A">
      <w:pPr>
        <w:pStyle w:val="Intestazione"/>
        <w:jc w:val="both"/>
        <w:rPr>
          <w:rFonts w:ascii="Tahoma" w:hAnsi="Tahoma" w:cs="Tahoma"/>
          <w:bCs/>
          <w:sz w:val="22"/>
          <w:szCs w:val="22"/>
        </w:rPr>
      </w:pPr>
      <w:r w:rsidRPr="00F07E65">
        <w:rPr>
          <w:rFonts w:ascii="Tahoma" w:hAnsi="Tahoma"/>
          <w:sz w:val="22"/>
          <w:szCs w:val="22"/>
        </w:rPr>
        <w:t>Number of Characters: 2,885 including spaces, without “About Bonfiglioli”</w:t>
      </w:r>
    </w:p>
    <w:p w14:paraId="581DA098" w14:textId="6813C261" w:rsidR="0089187A" w:rsidRPr="00F07E65" w:rsidRDefault="0089187A" w:rsidP="0089187A">
      <w:pPr>
        <w:pStyle w:val="Intestazione"/>
        <w:jc w:val="both"/>
        <w:rPr>
          <w:rFonts w:ascii="Tahoma" w:hAnsi="Tahoma" w:cs="Tahoma"/>
          <w:bCs/>
          <w:sz w:val="22"/>
          <w:szCs w:val="22"/>
        </w:rPr>
      </w:pPr>
      <w:r w:rsidRPr="00F07E65">
        <w:rPr>
          <w:rFonts w:ascii="Tahoma" w:hAnsi="Tahoma"/>
          <w:sz w:val="22"/>
          <w:szCs w:val="22"/>
        </w:rPr>
        <w:t>Text file: Bonfiglioli-ECGenius_20190226.doc</w:t>
      </w:r>
    </w:p>
    <w:p w14:paraId="21204806" w14:textId="4A18C66D" w:rsidR="003D6031" w:rsidRPr="00F07E65" w:rsidRDefault="003D6031" w:rsidP="00D231FB">
      <w:pPr>
        <w:rPr>
          <w:rFonts w:ascii="Tahoma" w:hAnsi="Tahoma" w:cs="Tahoma"/>
          <w:sz w:val="22"/>
        </w:rPr>
      </w:pPr>
    </w:p>
    <w:p w14:paraId="0D85C13E" w14:textId="5914F042" w:rsidR="00B53410" w:rsidRPr="00F07E65" w:rsidRDefault="00B53410" w:rsidP="00D231FB">
      <w:pPr>
        <w:rPr>
          <w:rFonts w:ascii="Tahoma" w:hAnsi="Tahoma" w:cs="Tahoma"/>
          <w:b/>
          <w:sz w:val="22"/>
        </w:rPr>
      </w:pPr>
    </w:p>
    <w:p w14:paraId="1351F8D5" w14:textId="77777777" w:rsidR="00046384" w:rsidRPr="00F07E65" w:rsidRDefault="00046384" w:rsidP="00D231FB">
      <w:pPr>
        <w:rPr>
          <w:rFonts w:ascii="Tahoma" w:hAnsi="Tahoma" w:cs="Tahoma"/>
          <w:b/>
          <w:sz w:val="22"/>
        </w:rPr>
      </w:pPr>
    </w:p>
    <w:p w14:paraId="739E5AEA" w14:textId="116291F3" w:rsidR="00095177" w:rsidRPr="00F07E65" w:rsidRDefault="00095177" w:rsidP="00D231FB">
      <w:pPr>
        <w:rPr>
          <w:rFonts w:ascii="Tahoma" w:hAnsi="Tahoma" w:cs="Tahoma"/>
          <w:b/>
          <w:sz w:val="22"/>
        </w:rPr>
      </w:pPr>
      <w:r w:rsidRPr="00F07E65">
        <w:rPr>
          <w:rFonts w:ascii="Tahoma" w:hAnsi="Tahoma"/>
          <w:b/>
          <w:sz w:val="22"/>
        </w:rPr>
        <w:t>About Bonfiglioli:</w:t>
      </w:r>
    </w:p>
    <w:p w14:paraId="07C1FB0B" w14:textId="4594C980" w:rsidR="0089187A" w:rsidRPr="00F07E65" w:rsidRDefault="0063067F" w:rsidP="00D231FB">
      <w:pPr>
        <w:rPr>
          <w:rFonts w:ascii="Tahoma" w:hAnsi="Tahoma" w:cs="Tahoma"/>
          <w:sz w:val="22"/>
        </w:rPr>
      </w:pPr>
      <w:r w:rsidRPr="00F07E65">
        <w:rPr>
          <w:rFonts w:ascii="Tahoma" w:hAnsi="Tahoma"/>
          <w:sz w:val="22"/>
        </w:rPr>
        <w:t xml:space="preserve">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countries, 14 production facilities, 550 distributors and about 3.700 employees. Excellence, innovation and sustainability are the drivers behind our growth as a company and team and represent the guarantee of the product and service quality we offer our clients. More information is available at </w:t>
      </w:r>
      <w:hyperlink r:id="rId10" w:history="1">
        <w:r w:rsidRPr="00F07E65">
          <w:rPr>
            <w:rStyle w:val="Collegamentoipertestuale"/>
            <w:rFonts w:ascii="Tahoma" w:hAnsi="Tahoma"/>
            <w:sz w:val="22"/>
          </w:rPr>
          <w:t>www.bonfiglioli.com</w:t>
        </w:r>
      </w:hyperlink>
      <w:r w:rsidRPr="00F07E65">
        <w:rPr>
          <w:rStyle w:val="Collegamentoipertestuale"/>
          <w:rFonts w:ascii="Tahoma" w:hAnsi="Tahoma"/>
          <w:sz w:val="22"/>
        </w:rPr>
        <w:t>.</w:t>
      </w:r>
    </w:p>
    <w:p w14:paraId="1D12BAD2" w14:textId="3024C2BC" w:rsidR="00095177" w:rsidRPr="00F07E65" w:rsidRDefault="00095177" w:rsidP="00D231FB">
      <w:pPr>
        <w:rPr>
          <w:rFonts w:ascii="Tahoma" w:hAnsi="Tahoma" w:cs="Tahoma"/>
          <w:sz w:val="22"/>
        </w:rPr>
      </w:pPr>
    </w:p>
    <w:p w14:paraId="3863A4AC" w14:textId="0D4F6816" w:rsidR="00F35015" w:rsidRPr="00F07E65" w:rsidRDefault="00EC651C" w:rsidP="00095177">
      <w:pPr>
        <w:pStyle w:val="Corpodeltesto2"/>
        <w:spacing w:after="0" w:line="240" w:lineRule="auto"/>
        <w:rPr>
          <w:rFonts w:ascii="Tahoma" w:hAnsi="Tahoma"/>
          <w:sz w:val="22"/>
          <w:szCs w:val="22"/>
        </w:rPr>
      </w:pPr>
      <w:r w:rsidRPr="00F07E65">
        <w:rPr>
          <w:rFonts w:ascii="Tahoma" w:hAnsi="Tahoma"/>
          <w:sz w:val="22"/>
          <w:szCs w:val="22"/>
        </w:rPr>
        <w:t>Direito de autor das imagens da Bonfiglioli:</w:t>
      </w:r>
    </w:p>
    <w:p w14:paraId="3A58D9E7" w14:textId="77777777" w:rsidR="0089187A" w:rsidRPr="00F07E65" w:rsidRDefault="0089187A" w:rsidP="00095177">
      <w:pPr>
        <w:pStyle w:val="Corpodeltesto2"/>
        <w:spacing w:after="0" w:line="240" w:lineRule="auto"/>
        <w:rPr>
          <w:rFonts w:ascii="Tahoma" w:hAnsi="Tahoma"/>
          <w:sz w:val="22"/>
          <w:szCs w:val="22"/>
        </w:rPr>
      </w:pPr>
    </w:p>
    <w:p w14:paraId="1DA2E3D2" w14:textId="7D56F07C" w:rsidR="00095177" w:rsidRPr="00F07E65" w:rsidRDefault="00095177" w:rsidP="00095177">
      <w:pPr>
        <w:pStyle w:val="Intestazione"/>
        <w:rPr>
          <w:rFonts w:ascii="Arial" w:hAnsi="Arial"/>
          <w:bCs/>
          <w:sz w:val="22"/>
          <w:szCs w:val="22"/>
        </w:rPr>
      </w:pPr>
      <w:r w:rsidRPr="00F07E65">
        <w:rPr>
          <w:rFonts w:ascii="Arial" w:hAnsi="Arial"/>
          <w:sz w:val="22"/>
          <w:szCs w:val="22"/>
        </w:rPr>
        <w:t>Bonfiglioli-ECGenius.jpg</w:t>
      </w:r>
    </w:p>
    <w:p w14:paraId="0D0AA76A" w14:textId="038F5863" w:rsidR="00095177" w:rsidRPr="00F07E65" w:rsidRDefault="00046384" w:rsidP="00095177">
      <w:pPr>
        <w:pStyle w:val="s5"/>
        <w:spacing w:before="0" w:beforeAutospacing="0" w:after="0" w:afterAutospacing="0"/>
        <w:rPr>
          <w:rFonts w:ascii="Arial" w:hAnsi="Arial" w:cs="Arial"/>
          <w:sz w:val="22"/>
          <w:szCs w:val="22"/>
        </w:rPr>
      </w:pPr>
      <w:r w:rsidRPr="00F07E65">
        <w:rPr>
          <w:rFonts w:ascii="Arial" w:hAnsi="Arial"/>
          <w:noProof/>
          <w:sz w:val="22"/>
          <w:szCs w:val="22"/>
        </w:rPr>
        <w:drawing>
          <wp:inline distT="0" distB="0" distL="0" distR="0" wp14:anchorId="2D3E7CDF" wp14:editId="0CF9C061">
            <wp:extent cx="1876425" cy="18764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ECGenius-k.png"/>
                    <pic:cNvPicPr/>
                  </pic:nvPicPr>
                  <pic:blipFill>
                    <a:blip r:embed="rId11"/>
                    <a:stretch>
                      <a:fillRect/>
                    </a:stretch>
                  </pic:blipFill>
                  <pic:spPr>
                    <a:xfrm>
                      <a:off x="0" y="0"/>
                      <a:ext cx="1876505" cy="1876505"/>
                    </a:xfrm>
                    <a:prstGeom prst="rect">
                      <a:avLst/>
                    </a:prstGeom>
                  </pic:spPr>
                </pic:pic>
              </a:graphicData>
            </a:graphic>
          </wp:inline>
        </w:drawing>
      </w:r>
    </w:p>
    <w:p w14:paraId="6CC542DB" w14:textId="77777777" w:rsidR="00095177" w:rsidRPr="00F07E65" w:rsidRDefault="00095177" w:rsidP="00095177">
      <w:pPr>
        <w:pStyle w:val="s5"/>
        <w:spacing w:before="0" w:beforeAutospacing="0" w:after="0" w:afterAutospacing="0"/>
        <w:rPr>
          <w:rFonts w:ascii="Arial" w:hAnsi="Arial" w:cs="Arial"/>
          <w:sz w:val="22"/>
          <w:szCs w:val="22"/>
        </w:rPr>
      </w:pPr>
      <w:r w:rsidRPr="00F07E65">
        <w:rPr>
          <w:rFonts w:ascii="Tahoma" w:hAnsi="Tahoma"/>
          <w:sz w:val="22"/>
        </w:rPr>
        <w:t>O formato compacto de ECGenius150 é perfeitamente adequado para o espaço limitado disponível na máquina.</w:t>
      </w:r>
    </w:p>
    <w:p w14:paraId="66A2B1FC" w14:textId="77777777" w:rsidR="00095177" w:rsidRPr="00F07E65" w:rsidRDefault="00095177" w:rsidP="00095177">
      <w:pPr>
        <w:pStyle w:val="Corpodeltesto2"/>
        <w:spacing w:after="0" w:line="240" w:lineRule="auto"/>
        <w:rPr>
          <w:rFonts w:ascii="Tahoma" w:hAnsi="Tahoma"/>
          <w:sz w:val="22"/>
          <w:szCs w:val="22"/>
        </w:rPr>
      </w:pPr>
    </w:p>
    <w:p w14:paraId="0A92F614" w14:textId="620BC81D" w:rsidR="00095177" w:rsidRPr="00F07E65" w:rsidRDefault="00095177" w:rsidP="00095177">
      <w:pPr>
        <w:pStyle w:val="Intestazione"/>
        <w:rPr>
          <w:rFonts w:ascii="Arial" w:hAnsi="Arial"/>
          <w:bCs/>
          <w:sz w:val="22"/>
          <w:szCs w:val="22"/>
        </w:rPr>
      </w:pPr>
      <w:r w:rsidRPr="00F07E65">
        <w:rPr>
          <w:rFonts w:ascii="Arial" w:hAnsi="Arial"/>
          <w:sz w:val="22"/>
          <w:szCs w:val="22"/>
        </w:rPr>
        <w:t>Bonfiglioli-ECGenius-Special.jpg</w:t>
      </w:r>
    </w:p>
    <w:p w14:paraId="42F71576" w14:textId="77777777" w:rsidR="00095177" w:rsidRPr="00F07E65" w:rsidRDefault="00095177" w:rsidP="00095177">
      <w:pPr>
        <w:pStyle w:val="s5"/>
        <w:spacing w:before="0" w:beforeAutospacing="0" w:after="0" w:afterAutospacing="0"/>
        <w:rPr>
          <w:rFonts w:ascii="Arial" w:hAnsi="Arial" w:cs="Arial"/>
          <w:sz w:val="22"/>
          <w:szCs w:val="22"/>
        </w:rPr>
      </w:pPr>
      <w:r w:rsidRPr="00F07E65">
        <w:rPr>
          <w:rFonts w:ascii="Arial" w:hAnsi="Arial"/>
          <w:noProof/>
          <w:sz w:val="22"/>
          <w:szCs w:val="22"/>
        </w:rPr>
        <w:drawing>
          <wp:inline distT="0" distB="0" distL="0" distR="0" wp14:anchorId="1C1A6C10" wp14:editId="3CB07402">
            <wp:extent cx="1457325" cy="158744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nfiglioli-ECGenius-k.jpg"/>
                    <pic:cNvPicPr/>
                  </pic:nvPicPr>
                  <pic:blipFill>
                    <a:blip r:embed="rId12"/>
                    <a:stretch>
                      <a:fillRect/>
                    </a:stretch>
                  </pic:blipFill>
                  <pic:spPr>
                    <a:xfrm>
                      <a:off x="0" y="0"/>
                      <a:ext cx="1469740" cy="1600967"/>
                    </a:xfrm>
                    <a:prstGeom prst="rect">
                      <a:avLst/>
                    </a:prstGeom>
                  </pic:spPr>
                </pic:pic>
              </a:graphicData>
            </a:graphic>
          </wp:inline>
        </w:drawing>
      </w:r>
    </w:p>
    <w:p w14:paraId="1BFF328D" w14:textId="77777777" w:rsidR="00095177" w:rsidRPr="00F07E65" w:rsidRDefault="00095177" w:rsidP="00095177">
      <w:pPr>
        <w:pStyle w:val="s5"/>
        <w:spacing w:before="0" w:beforeAutospacing="0" w:after="0" w:afterAutospacing="0"/>
        <w:rPr>
          <w:rFonts w:ascii="Arial" w:hAnsi="Arial" w:cs="Arial"/>
          <w:sz w:val="22"/>
          <w:szCs w:val="22"/>
        </w:rPr>
      </w:pPr>
      <w:r w:rsidRPr="00F07E65">
        <w:rPr>
          <w:rFonts w:ascii="Tahoma" w:hAnsi="Tahoma"/>
          <w:sz w:val="22"/>
        </w:rPr>
        <w:t>A característica principal de ECGenius150 é a construção da unidade de ajuste mecânico, que altera a velocidade direta e imperceptivelmente.</w:t>
      </w:r>
    </w:p>
    <w:p w14:paraId="58F39151" w14:textId="77777777" w:rsidR="00F056E3" w:rsidRPr="00F07E65" w:rsidRDefault="00F056E3" w:rsidP="00EB7686">
      <w:pPr>
        <w:jc w:val="both"/>
        <w:rPr>
          <w:rFonts w:ascii="Tahoma" w:hAnsi="Tahoma" w:cs="Tahoma"/>
          <w:sz w:val="22"/>
          <w:szCs w:val="22"/>
        </w:rPr>
      </w:pPr>
    </w:p>
    <w:p w14:paraId="208F6447" w14:textId="77777777" w:rsidR="00A23C5F" w:rsidRPr="00F07E65" w:rsidRDefault="00A23C5F" w:rsidP="00A23C5F">
      <w:pPr>
        <w:pStyle w:val="StileInterlineaesatta12pt"/>
        <w:rPr>
          <w:rFonts w:cs="Tahoma"/>
          <w:b/>
          <w:sz w:val="22"/>
          <w:szCs w:val="22"/>
        </w:rPr>
      </w:pPr>
      <w:r w:rsidRPr="00F07E65">
        <w:rPr>
          <w:b/>
          <w:sz w:val="22"/>
          <w:szCs w:val="22"/>
        </w:rPr>
        <w:t xml:space="preserve">Detalhes de contato para mais informações: </w:t>
      </w:r>
    </w:p>
    <w:p w14:paraId="3806C99E" w14:textId="77777777" w:rsidR="00A23C5F" w:rsidRPr="00F07E65" w:rsidRDefault="00A23C5F" w:rsidP="00A23C5F">
      <w:pPr>
        <w:suppressAutoHyphens/>
        <w:jc w:val="both"/>
        <w:rPr>
          <w:rFonts w:ascii="Tahoma" w:hAnsi="Tahoma" w:cs="Tahoma"/>
          <w:sz w:val="22"/>
          <w:szCs w:val="22"/>
        </w:rPr>
      </w:pPr>
      <w:r w:rsidRPr="00F07E65">
        <w:rPr>
          <w:rFonts w:ascii="Tahoma" w:hAnsi="Tahoma"/>
          <w:noProof/>
          <w:sz w:val="22"/>
          <w:szCs w:val="22"/>
        </w:rPr>
        <w:drawing>
          <wp:inline distT="0" distB="0" distL="0" distR="0" wp14:anchorId="1BE36AEB" wp14:editId="7E8974DC">
            <wp:extent cx="270000" cy="270000"/>
            <wp:effectExtent l="0" t="0" r="0" b="0"/>
            <wp:docPr id="6" name="Picture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F07E65">
        <w:rPr>
          <w:rFonts w:ascii="Tahoma" w:hAnsi="Tahoma"/>
          <w:sz w:val="22"/>
          <w:szCs w:val="22"/>
        </w:rPr>
        <w:t xml:space="preserve">  </w:t>
      </w:r>
      <w:r w:rsidRPr="00F07E65">
        <w:rPr>
          <w:noProof/>
        </w:rPr>
        <w:drawing>
          <wp:inline distT="0" distB="0" distL="0" distR="0" wp14:anchorId="7A5524AA" wp14:editId="2F6C7AA1">
            <wp:extent cx="270000" cy="2700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7"/>
                    </pic:cNvPr>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F07E65">
        <w:rPr>
          <w:rFonts w:ascii="Tahoma" w:hAnsi="Tahoma"/>
          <w:sz w:val="22"/>
          <w:szCs w:val="22"/>
        </w:rPr>
        <w:t xml:space="preserve"> </w:t>
      </w:r>
      <w:r w:rsidRPr="00F07E65">
        <w:rPr>
          <w:noProof/>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20"/>
                    </pic:cNvPr>
                    <pic:cNvPicPr>
                      <a:picLocks noChangeAspect="1" noChangeArrowheads="1"/>
                    </pic:cNvPicPr>
                  </pic:nvPicPr>
                  <pic:blipFill>
                    <a:blip r:embed="rId2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F07E65" w:rsidRDefault="00A23C5F" w:rsidP="00A23C5F">
      <w:pPr>
        <w:suppressAutoHyphens/>
        <w:outlineLvl w:val="0"/>
        <w:rPr>
          <w:rFonts w:ascii="Tahoma" w:hAnsi="Tahoma" w:cs="Tahoma"/>
          <w:sz w:val="22"/>
          <w:szCs w:val="22"/>
        </w:rPr>
      </w:pPr>
      <w:r w:rsidRPr="00F07E65">
        <w:rPr>
          <w:rFonts w:ascii="Tahoma" w:hAnsi="Tahoma"/>
          <w:sz w:val="22"/>
          <w:szCs w:val="22"/>
        </w:rPr>
        <w:t>Camille Distain</w:t>
      </w:r>
    </w:p>
    <w:p w14:paraId="56637CC4" w14:textId="77777777" w:rsidR="00A23C5F" w:rsidRPr="00F07E65" w:rsidRDefault="00A23C5F" w:rsidP="00A23C5F">
      <w:pPr>
        <w:suppressAutoHyphens/>
        <w:outlineLvl w:val="0"/>
        <w:rPr>
          <w:rFonts w:ascii="Tahoma" w:hAnsi="Tahoma" w:cs="Tahoma"/>
          <w:sz w:val="22"/>
          <w:szCs w:val="22"/>
        </w:rPr>
      </w:pPr>
      <w:r w:rsidRPr="00F07E65">
        <w:rPr>
          <w:rFonts w:ascii="Tahoma" w:hAnsi="Tahoma"/>
          <w:sz w:val="22"/>
          <w:szCs w:val="22"/>
        </w:rPr>
        <w:t>Gerente de Comunicações Externas, Bonfiglioli</w:t>
      </w:r>
    </w:p>
    <w:p w14:paraId="41B65E38" w14:textId="17EBFF40" w:rsidR="00A23C5F" w:rsidRPr="00F07E65" w:rsidRDefault="00F07E65" w:rsidP="00A23C5F">
      <w:pPr>
        <w:jc w:val="both"/>
        <w:rPr>
          <w:rStyle w:val="Collegamentoipertestuale"/>
          <w:rFonts w:ascii="Tahoma" w:hAnsi="Tahoma"/>
          <w:sz w:val="22"/>
          <w:szCs w:val="22"/>
        </w:rPr>
      </w:pPr>
      <w:hyperlink r:id="rId22" w:history="1">
        <w:r w:rsidR="00E17507" w:rsidRPr="00F07E65">
          <w:rPr>
            <w:rStyle w:val="Collegamentoipertestuale"/>
            <w:rFonts w:ascii="Tahoma" w:hAnsi="Tahoma"/>
            <w:sz w:val="22"/>
            <w:szCs w:val="22"/>
          </w:rPr>
          <w:t>camille.distain@bonfiglioli.com</w:t>
        </w:r>
      </w:hyperlink>
      <w:r w:rsidR="00E17507" w:rsidRPr="00F07E65">
        <w:rPr>
          <w:rStyle w:val="Collegamentoipertestuale"/>
          <w:rFonts w:ascii="Tahoma" w:hAnsi="Tahoma"/>
          <w:sz w:val="22"/>
          <w:szCs w:val="22"/>
        </w:rPr>
        <w:t xml:space="preserve"> </w:t>
      </w:r>
    </w:p>
    <w:p w14:paraId="53AC0301" w14:textId="77777777" w:rsidR="00A23C5F" w:rsidRPr="00F07E65" w:rsidRDefault="00A23C5F" w:rsidP="00A23C5F">
      <w:pPr>
        <w:jc w:val="both"/>
        <w:rPr>
          <w:rStyle w:val="Collegamentoipertestuale"/>
          <w:rFonts w:ascii="Tahoma" w:hAnsi="Tahoma"/>
          <w:sz w:val="22"/>
          <w:szCs w:val="22"/>
        </w:rPr>
      </w:pPr>
    </w:p>
    <w:p w14:paraId="05EB4FC4" w14:textId="77777777" w:rsidR="00A23C5F" w:rsidRPr="00F07E65" w:rsidRDefault="00A23C5F" w:rsidP="00A23C5F">
      <w:pPr>
        <w:autoSpaceDE w:val="0"/>
        <w:autoSpaceDN w:val="0"/>
        <w:adjustRightInd w:val="0"/>
        <w:jc w:val="both"/>
        <w:rPr>
          <w:rFonts w:ascii="Tahoma" w:hAnsi="Tahoma" w:cs="Tahoma"/>
          <w:b/>
          <w:bCs/>
          <w:sz w:val="22"/>
          <w:szCs w:val="22"/>
        </w:rPr>
      </w:pPr>
      <w:r w:rsidRPr="00F07E65">
        <w:rPr>
          <w:rFonts w:ascii="Tahoma" w:hAnsi="Tahoma"/>
          <w:b/>
          <w:bCs/>
          <w:sz w:val="22"/>
          <w:szCs w:val="22"/>
        </w:rPr>
        <w:t>RP/Comentários/Informação</w:t>
      </w:r>
      <w:r w:rsidRPr="00F07E65">
        <w:rPr>
          <w:rFonts w:ascii="Tahoma" w:hAnsi="Tahoma"/>
          <w:sz w:val="22"/>
          <w:szCs w:val="22"/>
        </w:rPr>
        <w:t xml:space="preserve"> </w:t>
      </w:r>
      <w:r w:rsidRPr="00F07E65">
        <w:rPr>
          <w:rFonts w:ascii="Tahoma" w:hAnsi="Tahoma"/>
          <w:b/>
          <w:bCs/>
          <w:sz w:val="22"/>
          <w:szCs w:val="22"/>
        </w:rPr>
        <w:t>(para o Reino Unido e Escandinávia)</w:t>
      </w:r>
    </w:p>
    <w:p w14:paraId="2F5FD677" w14:textId="77777777" w:rsidR="00A23C5F" w:rsidRPr="00F07E65" w:rsidRDefault="00A23C5F" w:rsidP="00A23C5F">
      <w:pPr>
        <w:autoSpaceDE w:val="0"/>
        <w:autoSpaceDN w:val="0"/>
        <w:adjustRightInd w:val="0"/>
        <w:jc w:val="both"/>
        <w:rPr>
          <w:rFonts w:ascii="Tahoma" w:hAnsi="Tahoma" w:cs="Tahoma"/>
          <w:sz w:val="22"/>
          <w:szCs w:val="22"/>
        </w:rPr>
      </w:pPr>
      <w:r w:rsidRPr="00F07E65">
        <w:rPr>
          <w:rFonts w:ascii="Tahoma" w:hAnsi="Tahoma"/>
          <w:sz w:val="22"/>
          <w:szCs w:val="22"/>
        </w:rPr>
        <w:t>Thomas Herold</w:t>
      </w:r>
    </w:p>
    <w:p w14:paraId="0AB358EB" w14:textId="77777777" w:rsidR="00A23C5F" w:rsidRPr="00F07E65" w:rsidRDefault="00A23C5F" w:rsidP="00A23C5F">
      <w:pPr>
        <w:autoSpaceDE w:val="0"/>
        <w:autoSpaceDN w:val="0"/>
        <w:adjustRightInd w:val="0"/>
        <w:jc w:val="both"/>
        <w:rPr>
          <w:rFonts w:ascii="Tahoma" w:hAnsi="Tahoma" w:cs="Tahoma"/>
          <w:sz w:val="22"/>
          <w:szCs w:val="22"/>
        </w:rPr>
      </w:pPr>
      <w:r w:rsidRPr="00F07E65">
        <w:rPr>
          <w:rFonts w:ascii="Tahoma" w:hAnsi="Tahoma"/>
          <w:sz w:val="22"/>
          <w:szCs w:val="22"/>
        </w:rPr>
        <w:t>Diretor de Operações, WERBEKOCH GmbH</w:t>
      </w:r>
    </w:p>
    <w:p w14:paraId="1D66E001" w14:textId="77777777" w:rsidR="00A23C5F" w:rsidRPr="00F07E65" w:rsidRDefault="00F07E65" w:rsidP="00A23C5F">
      <w:pPr>
        <w:rPr>
          <w:rStyle w:val="Collegamentoipertestuale"/>
          <w:rFonts w:ascii="Tahoma" w:hAnsi="Tahoma" w:cs="Tahoma"/>
          <w:sz w:val="22"/>
          <w:szCs w:val="22"/>
        </w:rPr>
      </w:pPr>
      <w:hyperlink r:id="rId23" w:history="1">
        <w:r w:rsidR="00E17507" w:rsidRPr="00F07E65">
          <w:rPr>
            <w:rStyle w:val="Collegamentoipertestuale"/>
            <w:rFonts w:ascii="Tahoma" w:hAnsi="Tahoma"/>
            <w:sz w:val="22"/>
            <w:szCs w:val="22"/>
          </w:rPr>
          <w:t>th@werbekoch.de</w:t>
        </w:r>
      </w:hyperlink>
    </w:p>
    <w:p w14:paraId="61E919FF" w14:textId="71F04A21" w:rsidR="00A23C5F" w:rsidRDefault="00A23C5F" w:rsidP="00A23C5F">
      <w:pPr>
        <w:jc w:val="both"/>
        <w:rPr>
          <w:rStyle w:val="Collegamentoipertestuale"/>
          <w:rFonts w:ascii="Tahoma" w:hAnsi="Tahoma"/>
          <w:sz w:val="22"/>
          <w:szCs w:val="22"/>
        </w:rPr>
      </w:pPr>
    </w:p>
    <w:sectPr w:rsidR="00A23C5F" w:rsidSect="00177D21">
      <w:footerReference w:type="default" r:id="rId24"/>
      <w:headerReference w:type="first" r:id="rId25"/>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F317" w14:textId="77777777" w:rsidR="00023547" w:rsidRDefault="00023547" w:rsidP="001E01C4">
      <w:r>
        <w:separator/>
      </w:r>
    </w:p>
  </w:endnote>
  <w:endnote w:type="continuationSeparator" w:id="0">
    <w:p w14:paraId="7E255EB9" w14:textId="77777777" w:rsidR="00023547" w:rsidRDefault="00023547"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272636"/>
      <w:docPartObj>
        <w:docPartGallery w:val="Page Numbers (Bottom of Page)"/>
        <w:docPartUnique/>
      </w:docPartObj>
    </w:sdtPr>
    <w:sdtEndPr>
      <w:rPr>
        <w:noProof/>
      </w:rPr>
    </w:sdtEndPr>
    <w:sdtContent>
      <w:p w14:paraId="645483D2" w14:textId="6CB26158" w:rsidR="008E6CB9" w:rsidRDefault="008E6CB9" w:rsidP="00177D21">
        <w:pPr>
          <w:pStyle w:val="Pidipagina"/>
          <w:jc w:val="center"/>
        </w:pPr>
        <w:r>
          <w:fldChar w:fldCharType="begin"/>
        </w:r>
        <w:r>
          <w:instrText xml:space="preserve"> PAGE   \* MERGEFORMAT </w:instrText>
        </w:r>
        <w:r>
          <w:fldChar w:fldCharType="separate"/>
        </w:r>
        <w:r w:rsidR="00085241">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AC7EC" w14:textId="77777777" w:rsidR="00023547" w:rsidRDefault="00023547" w:rsidP="001E01C4">
      <w:r>
        <w:separator/>
      </w:r>
    </w:p>
  </w:footnote>
  <w:footnote w:type="continuationSeparator" w:id="0">
    <w:p w14:paraId="7DE80479" w14:textId="77777777" w:rsidR="00023547" w:rsidRDefault="00023547"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E1F16" w14:textId="77777777" w:rsidR="008E6CB9" w:rsidRDefault="008E6CB9">
    <w:pPr>
      <w:pStyle w:val="Intestazione"/>
    </w:pPr>
    <w:r>
      <w:rPr>
        <w:noProof/>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04A24"/>
    <w:rsid w:val="000103C2"/>
    <w:rsid w:val="00023547"/>
    <w:rsid w:val="00036F43"/>
    <w:rsid w:val="00044BBF"/>
    <w:rsid w:val="00046384"/>
    <w:rsid w:val="00050171"/>
    <w:rsid w:val="00064AF5"/>
    <w:rsid w:val="0007797E"/>
    <w:rsid w:val="00085241"/>
    <w:rsid w:val="000858E3"/>
    <w:rsid w:val="00095177"/>
    <w:rsid w:val="000A13D2"/>
    <w:rsid w:val="000B6622"/>
    <w:rsid w:val="001020A8"/>
    <w:rsid w:val="00102CDB"/>
    <w:rsid w:val="00121E0A"/>
    <w:rsid w:val="00126D5A"/>
    <w:rsid w:val="00126DB0"/>
    <w:rsid w:val="00131615"/>
    <w:rsid w:val="00132888"/>
    <w:rsid w:val="001531FD"/>
    <w:rsid w:val="00170EC4"/>
    <w:rsid w:val="00177D21"/>
    <w:rsid w:val="001801C3"/>
    <w:rsid w:val="00192185"/>
    <w:rsid w:val="001B350E"/>
    <w:rsid w:val="001C251D"/>
    <w:rsid w:val="001D56A0"/>
    <w:rsid w:val="001D58F1"/>
    <w:rsid w:val="001D6023"/>
    <w:rsid w:val="001E01C4"/>
    <w:rsid w:val="001E0F84"/>
    <w:rsid w:val="001F19B9"/>
    <w:rsid w:val="002029D2"/>
    <w:rsid w:val="00212AB7"/>
    <w:rsid w:val="0023330E"/>
    <w:rsid w:val="0024201E"/>
    <w:rsid w:val="00246D13"/>
    <w:rsid w:val="00252AC6"/>
    <w:rsid w:val="002711DC"/>
    <w:rsid w:val="002C695F"/>
    <w:rsid w:val="002D2E90"/>
    <w:rsid w:val="00310D11"/>
    <w:rsid w:val="00314DAE"/>
    <w:rsid w:val="00332A28"/>
    <w:rsid w:val="00380D54"/>
    <w:rsid w:val="0038305E"/>
    <w:rsid w:val="00395554"/>
    <w:rsid w:val="003B0876"/>
    <w:rsid w:val="003B2C3B"/>
    <w:rsid w:val="003B3A02"/>
    <w:rsid w:val="003D6031"/>
    <w:rsid w:val="003E6D22"/>
    <w:rsid w:val="003F1100"/>
    <w:rsid w:val="003F48EE"/>
    <w:rsid w:val="003F7F06"/>
    <w:rsid w:val="004051EC"/>
    <w:rsid w:val="00405B24"/>
    <w:rsid w:val="004267FD"/>
    <w:rsid w:val="00430845"/>
    <w:rsid w:val="00431D5F"/>
    <w:rsid w:val="004377F6"/>
    <w:rsid w:val="00443ADD"/>
    <w:rsid w:val="0046413E"/>
    <w:rsid w:val="00464F19"/>
    <w:rsid w:val="00466477"/>
    <w:rsid w:val="00473681"/>
    <w:rsid w:val="00477D64"/>
    <w:rsid w:val="00480382"/>
    <w:rsid w:val="004A73F3"/>
    <w:rsid w:val="00504375"/>
    <w:rsid w:val="0051525F"/>
    <w:rsid w:val="00544358"/>
    <w:rsid w:val="00563FFA"/>
    <w:rsid w:val="00567F42"/>
    <w:rsid w:val="005A14A5"/>
    <w:rsid w:val="005B02B2"/>
    <w:rsid w:val="005E5ECE"/>
    <w:rsid w:val="00607B8E"/>
    <w:rsid w:val="00613FCE"/>
    <w:rsid w:val="0063067F"/>
    <w:rsid w:val="00630F82"/>
    <w:rsid w:val="00657292"/>
    <w:rsid w:val="006A3E79"/>
    <w:rsid w:val="006E3177"/>
    <w:rsid w:val="006F5251"/>
    <w:rsid w:val="00700AD5"/>
    <w:rsid w:val="007078D4"/>
    <w:rsid w:val="0072492B"/>
    <w:rsid w:val="007362B7"/>
    <w:rsid w:val="007524C2"/>
    <w:rsid w:val="007A0C36"/>
    <w:rsid w:val="007B6756"/>
    <w:rsid w:val="007E239A"/>
    <w:rsid w:val="007E6934"/>
    <w:rsid w:val="007F69CC"/>
    <w:rsid w:val="0083102D"/>
    <w:rsid w:val="008630E7"/>
    <w:rsid w:val="0087287C"/>
    <w:rsid w:val="00875494"/>
    <w:rsid w:val="008839DE"/>
    <w:rsid w:val="0089187A"/>
    <w:rsid w:val="008A45FA"/>
    <w:rsid w:val="008B291A"/>
    <w:rsid w:val="008B2F91"/>
    <w:rsid w:val="008C14F3"/>
    <w:rsid w:val="008C7A75"/>
    <w:rsid w:val="008E295A"/>
    <w:rsid w:val="008E6CB9"/>
    <w:rsid w:val="008F2007"/>
    <w:rsid w:val="009559FD"/>
    <w:rsid w:val="00986883"/>
    <w:rsid w:val="009A2C50"/>
    <w:rsid w:val="009A2E9B"/>
    <w:rsid w:val="009C78B6"/>
    <w:rsid w:val="009D2F95"/>
    <w:rsid w:val="009D778C"/>
    <w:rsid w:val="009E196E"/>
    <w:rsid w:val="009F1C68"/>
    <w:rsid w:val="009F4B00"/>
    <w:rsid w:val="009F644A"/>
    <w:rsid w:val="009F6594"/>
    <w:rsid w:val="00A1376C"/>
    <w:rsid w:val="00A179F0"/>
    <w:rsid w:val="00A23C5F"/>
    <w:rsid w:val="00A62A7F"/>
    <w:rsid w:val="00A754F7"/>
    <w:rsid w:val="00A80802"/>
    <w:rsid w:val="00A973B3"/>
    <w:rsid w:val="00AB5A6D"/>
    <w:rsid w:val="00AB6A4A"/>
    <w:rsid w:val="00B01371"/>
    <w:rsid w:val="00B53410"/>
    <w:rsid w:val="00B87743"/>
    <w:rsid w:val="00B902F0"/>
    <w:rsid w:val="00B92552"/>
    <w:rsid w:val="00B937C0"/>
    <w:rsid w:val="00BE0FF9"/>
    <w:rsid w:val="00C40CEA"/>
    <w:rsid w:val="00C84C66"/>
    <w:rsid w:val="00C9064A"/>
    <w:rsid w:val="00CA318A"/>
    <w:rsid w:val="00CE1268"/>
    <w:rsid w:val="00CF7865"/>
    <w:rsid w:val="00D12B5D"/>
    <w:rsid w:val="00D231FB"/>
    <w:rsid w:val="00D40CC0"/>
    <w:rsid w:val="00D456B2"/>
    <w:rsid w:val="00D51920"/>
    <w:rsid w:val="00D61A53"/>
    <w:rsid w:val="00D637DE"/>
    <w:rsid w:val="00D94900"/>
    <w:rsid w:val="00DC341A"/>
    <w:rsid w:val="00DD4B3C"/>
    <w:rsid w:val="00DF0533"/>
    <w:rsid w:val="00DF1D73"/>
    <w:rsid w:val="00DF3760"/>
    <w:rsid w:val="00E1528E"/>
    <w:rsid w:val="00E17507"/>
    <w:rsid w:val="00E43684"/>
    <w:rsid w:val="00E508A2"/>
    <w:rsid w:val="00E63534"/>
    <w:rsid w:val="00E94E94"/>
    <w:rsid w:val="00EB3F17"/>
    <w:rsid w:val="00EB7686"/>
    <w:rsid w:val="00EC0AE6"/>
    <w:rsid w:val="00EC651C"/>
    <w:rsid w:val="00EF3E25"/>
    <w:rsid w:val="00F056E3"/>
    <w:rsid w:val="00F07E65"/>
    <w:rsid w:val="00F22C99"/>
    <w:rsid w:val="00F25251"/>
    <w:rsid w:val="00F35015"/>
    <w:rsid w:val="00F360AA"/>
    <w:rsid w:val="00F43D9E"/>
    <w:rsid w:val="00F47752"/>
    <w:rsid w:val="00F6701B"/>
    <w:rsid w:val="00F6739A"/>
    <w:rsid w:val="00F7380A"/>
    <w:rsid w:val="00F76647"/>
    <w:rsid w:val="00F930EA"/>
    <w:rsid w:val="00FC284B"/>
    <w:rsid w:val="00FC4236"/>
    <w:rsid w:val="00FC76A7"/>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23D20372"/>
  <w14:defaultImageDpi w14:val="330"/>
  <w15:docId w15:val="{6F4009BB-9E49-462C-99CF-349DB864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E01C4"/>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E01C4"/>
    <w:pPr>
      <w:tabs>
        <w:tab w:val="center" w:pos="4819"/>
        <w:tab w:val="right" w:pos="9638"/>
      </w:tabs>
    </w:pPr>
  </w:style>
  <w:style w:type="character" w:customStyle="1" w:styleId="IntestazioneCarattere">
    <w:name w:val="Intestazione Carattere"/>
    <w:basedOn w:val="Carpredefinitoparagrafo"/>
    <w:link w:val="Intestazione"/>
    <w:uiPriority w:val="99"/>
    <w:rsid w:val="001E01C4"/>
    <w:rPr>
      <w:sz w:val="24"/>
      <w:lang w:eastAsia="it-IT"/>
    </w:rPr>
  </w:style>
  <w:style w:type="paragraph" w:styleId="Pidipagina">
    <w:name w:val="footer"/>
    <w:basedOn w:val="Normale"/>
    <w:link w:val="PidipaginaCarattere"/>
    <w:uiPriority w:val="99"/>
    <w:unhideWhenUsed/>
    <w:rsid w:val="001E01C4"/>
    <w:pPr>
      <w:tabs>
        <w:tab w:val="center" w:pos="4819"/>
        <w:tab w:val="right" w:pos="9638"/>
      </w:tabs>
    </w:pPr>
  </w:style>
  <w:style w:type="character" w:customStyle="1" w:styleId="PidipaginaCarattere">
    <w:name w:val="Piè di pagina Carattere"/>
    <w:basedOn w:val="Carpredefinitoparagrafo"/>
    <w:link w:val="Pidipagina"/>
    <w:uiPriority w:val="99"/>
    <w:rsid w:val="001E01C4"/>
    <w:rPr>
      <w:sz w:val="24"/>
      <w:lang w:eastAsia="it-IT"/>
    </w:rPr>
  </w:style>
  <w:style w:type="paragraph" w:styleId="Testofumetto">
    <w:name w:val="Balloon Text"/>
    <w:basedOn w:val="Normale"/>
    <w:link w:val="TestofumettoCarattere"/>
    <w:uiPriority w:val="99"/>
    <w:semiHidden/>
    <w:unhideWhenUsed/>
    <w:rsid w:val="001E01C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e"/>
    <w:uiPriority w:val="99"/>
    <w:rsid w:val="00192185"/>
    <w:pPr>
      <w:spacing w:line="240" w:lineRule="atLeast"/>
    </w:pPr>
    <w:rPr>
      <w:rFonts w:ascii="Tahoma" w:eastAsia="Times New Roman" w:hAnsi="Tahoma"/>
      <w:sz w:val="20"/>
      <w:u w:color="000000"/>
    </w:rPr>
  </w:style>
  <w:style w:type="paragraph" w:styleId="Corpotesto">
    <w:name w:val="Body Text"/>
    <w:basedOn w:val="Normale"/>
    <w:link w:val="CorpotestoCarattere"/>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CorpotestoCarattere">
    <w:name w:val="Corpo testo Carattere"/>
    <w:basedOn w:val="Carpredefinitoparagrafo"/>
    <w:link w:val="Corpotesto"/>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Collegamentoipertestuale">
    <w:name w:val="Hyperlink"/>
    <w:basedOn w:val="Carpredefinitoparagrafo"/>
    <w:uiPriority w:val="99"/>
    <w:unhideWhenUsed/>
    <w:rsid w:val="00C9064A"/>
    <w:rPr>
      <w:color w:val="0000FF" w:themeColor="hyperlink"/>
      <w:u w:val="single"/>
    </w:rPr>
  </w:style>
  <w:style w:type="paragraph" w:styleId="Corpodeltesto3">
    <w:name w:val="Body Text 3"/>
    <w:basedOn w:val="Normale"/>
    <w:link w:val="Corpodeltesto3Carattere"/>
    <w:uiPriority w:val="99"/>
    <w:semiHidden/>
    <w:unhideWhenUsed/>
    <w:rsid w:val="00D637D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637DE"/>
    <w:rPr>
      <w:sz w:val="16"/>
      <w:szCs w:val="16"/>
      <w:lang w:eastAsia="it-IT"/>
    </w:rPr>
  </w:style>
  <w:style w:type="paragraph" w:styleId="NormaleWeb">
    <w:name w:val="Normal (Web)"/>
    <w:basedOn w:val="Normale"/>
    <w:uiPriority w:val="99"/>
    <w:semiHidden/>
    <w:unhideWhenUsed/>
    <w:rsid w:val="00D637DE"/>
    <w:pPr>
      <w:spacing w:before="100" w:beforeAutospacing="1" w:after="100" w:afterAutospacing="1"/>
    </w:pPr>
    <w:rPr>
      <w:rFonts w:eastAsia="Times New Roman"/>
      <w:szCs w:val="24"/>
      <w:lang w:eastAsia="en-US"/>
    </w:rPr>
  </w:style>
  <w:style w:type="paragraph" w:styleId="Paragrafoelenco">
    <w:name w:val="List Paragraph"/>
    <w:basedOn w:val="Normale"/>
    <w:uiPriority w:val="34"/>
    <w:qFormat/>
    <w:rsid w:val="0024201E"/>
    <w:pPr>
      <w:ind w:left="720"/>
      <w:contextualSpacing/>
    </w:pPr>
  </w:style>
  <w:style w:type="paragraph" w:styleId="Testonormale">
    <w:name w:val="Plain Text"/>
    <w:basedOn w:val="Normale"/>
    <w:link w:val="TestonormaleCarattere"/>
    <w:uiPriority w:val="99"/>
    <w:semiHidden/>
    <w:unhideWhenUsed/>
    <w:rsid w:val="00443ADD"/>
    <w:rPr>
      <w:rFonts w:ascii="Calibri" w:hAnsi="Calibri" w:cs="Calibri"/>
      <w:sz w:val="22"/>
      <w:szCs w:val="21"/>
      <w:lang w:eastAsia="en-AU"/>
    </w:rPr>
  </w:style>
  <w:style w:type="character" w:customStyle="1" w:styleId="TestonormaleCarattere">
    <w:name w:val="Testo normale Carattere"/>
    <w:basedOn w:val="Carpredefinitoparagrafo"/>
    <w:link w:val="Testonormale"/>
    <w:uiPriority w:val="99"/>
    <w:semiHidden/>
    <w:rsid w:val="00443ADD"/>
    <w:rPr>
      <w:rFonts w:ascii="Calibri" w:hAnsi="Calibri" w:cs="Calibri"/>
      <w:sz w:val="22"/>
      <w:szCs w:val="21"/>
      <w:lang w:val="pt-BR" w:eastAsia="en-AU"/>
    </w:rPr>
  </w:style>
  <w:style w:type="character" w:styleId="Rimandocommento">
    <w:name w:val="annotation reference"/>
    <w:basedOn w:val="Carpredefinitoparagrafo"/>
    <w:uiPriority w:val="99"/>
    <w:semiHidden/>
    <w:unhideWhenUsed/>
    <w:rsid w:val="001531FD"/>
    <w:rPr>
      <w:sz w:val="16"/>
      <w:szCs w:val="16"/>
    </w:rPr>
  </w:style>
  <w:style w:type="paragraph" w:styleId="Testocommento">
    <w:name w:val="annotation text"/>
    <w:basedOn w:val="Normale"/>
    <w:link w:val="TestocommentoCarattere"/>
    <w:uiPriority w:val="99"/>
    <w:semiHidden/>
    <w:unhideWhenUsed/>
    <w:rsid w:val="001531FD"/>
    <w:rPr>
      <w:sz w:val="20"/>
    </w:rPr>
  </w:style>
  <w:style w:type="character" w:customStyle="1" w:styleId="TestocommentoCarattere">
    <w:name w:val="Testo commento Carattere"/>
    <w:basedOn w:val="Carpredefinitoparagrafo"/>
    <w:link w:val="Testocommento"/>
    <w:uiPriority w:val="99"/>
    <w:semiHidden/>
    <w:rsid w:val="001531FD"/>
    <w:rPr>
      <w:lang w:val="pt-BR" w:eastAsia="it-IT"/>
    </w:rPr>
  </w:style>
  <w:style w:type="paragraph" w:styleId="Soggettocommento">
    <w:name w:val="annotation subject"/>
    <w:basedOn w:val="Testocommento"/>
    <w:next w:val="Testocommento"/>
    <w:link w:val="SoggettocommentoCarattere"/>
    <w:uiPriority w:val="99"/>
    <w:semiHidden/>
    <w:unhideWhenUsed/>
    <w:rsid w:val="001531FD"/>
    <w:rPr>
      <w:b/>
      <w:bCs/>
    </w:rPr>
  </w:style>
  <w:style w:type="character" w:customStyle="1" w:styleId="SoggettocommentoCarattere">
    <w:name w:val="Soggetto commento Carattere"/>
    <w:basedOn w:val="TestocommentoCarattere"/>
    <w:link w:val="Soggettocommento"/>
    <w:uiPriority w:val="99"/>
    <w:semiHidden/>
    <w:rsid w:val="001531FD"/>
    <w:rPr>
      <w:b/>
      <w:bCs/>
      <w:lang w:val="pt-BR" w:eastAsia="it-IT"/>
    </w:rPr>
  </w:style>
  <w:style w:type="paragraph" w:styleId="Corpodeltesto2">
    <w:name w:val="Body Text 2"/>
    <w:basedOn w:val="Normale"/>
    <w:link w:val="Corpodeltesto2Carattere"/>
    <w:uiPriority w:val="99"/>
    <w:semiHidden/>
    <w:unhideWhenUsed/>
    <w:rsid w:val="00F35015"/>
    <w:pPr>
      <w:spacing w:after="120" w:line="480" w:lineRule="auto"/>
    </w:pPr>
  </w:style>
  <w:style w:type="character" w:customStyle="1" w:styleId="Corpodeltesto2Carattere">
    <w:name w:val="Corpo del testo 2 Carattere"/>
    <w:basedOn w:val="Carpredefinitoparagrafo"/>
    <w:link w:val="Corpodeltesto2"/>
    <w:uiPriority w:val="99"/>
    <w:semiHidden/>
    <w:rsid w:val="00F35015"/>
    <w:rPr>
      <w:sz w:val="24"/>
      <w:lang w:eastAsia="it-IT"/>
    </w:rPr>
  </w:style>
  <w:style w:type="paragraph" w:customStyle="1" w:styleId="s5">
    <w:name w:val="s5"/>
    <w:basedOn w:val="Normale"/>
    <w:rsid w:val="00F35015"/>
    <w:pPr>
      <w:spacing w:before="100" w:beforeAutospacing="1" w:after="100" w:afterAutospacing="1"/>
    </w:pPr>
    <w:rPr>
      <w:rFonts w:eastAsia="Times New Roman"/>
      <w:szCs w:val="24"/>
      <w:lang w:eastAsia="de-DE"/>
    </w:rPr>
  </w:style>
  <w:style w:type="character" w:customStyle="1" w:styleId="bumpedfont20">
    <w:name w:val="bumpedfont20"/>
    <w:basedOn w:val="Carpredefinitoparagrafo"/>
    <w:rsid w:val="00F35015"/>
  </w:style>
  <w:style w:type="character" w:customStyle="1" w:styleId="Menzionenonrisolta1">
    <w:name w:val="Menzione non risolta1"/>
    <w:basedOn w:val="Carpredefinitoparagrafo"/>
    <w:uiPriority w:val="99"/>
    <w:semiHidden/>
    <w:unhideWhenUsed/>
    <w:rsid w:val="00F35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vtcorp.com/en/construction/?utm_source=bonfiglioli&amp;utm_campaign=20180919&amp;utm_medium=media" TargetMode="External"/><Relationship Id="rId13" Type="http://schemas.openxmlformats.org/officeDocument/2006/relationships/hyperlink" Target="https://www.linkedin.com/company/bonfiglioli-riduttori-spa/"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yperlink" Target="https://www.youtube.com/channel/UCBp_UO4a0rAo5xd9Kj1EYhA/video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channel/UC8xvq7lt0om0vzFrDl0bRBw" TargetMode="External"/><Relationship Id="rId20" Type="http://schemas.openxmlformats.org/officeDocument/2006/relationships/hyperlink" Target="https://twitter.com/CVT_COR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mailto:th@werbekoch.de" TargetMode="External"/><Relationship Id="rId10" Type="http://schemas.openxmlformats.org/officeDocument/2006/relationships/hyperlink" Target="http://www.bonfiglioli.com" TargetMode="External"/><Relationship Id="rId19" Type="http://schemas.openxmlformats.org/officeDocument/2006/relationships/hyperlink" Target="https://twitter.com/Bonfiglioli_?lang=fr"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hyperlink" Target="https://www.linkedin.com/company/cvt-corp/" TargetMode="External"/><Relationship Id="rId22" Type="http://schemas.openxmlformats.org/officeDocument/2006/relationships/hyperlink" Target="mailto:camille.distain@bonfiglioli.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B1166-DEF1-4578-801B-800CCEFA8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688</Words>
  <Characters>3926</Characters>
  <Application>Microsoft Office Word</Application>
  <DocSecurity>0</DocSecurity>
  <Lines>32</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New 300 series in 20 sizes by Bonfiglioli</vt:lpstr>
      <vt:lpstr>New 300 series in 20 sizes by Bonfiglioli</vt:lpstr>
      <vt:lpstr>New 300 series in 20 sizes by Bonfiglioli</vt:lpstr>
    </vt:vector>
  </TitlesOfParts>
  <Company>WERBEKOCH GmbH</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300 series in 20 sizes by Bonfiglioli</dc:title>
  <dc:subject>Press release</dc:subject>
  <dc:creator>Thomas Herold</dc:creator>
  <cp:keywords>Gearbox 300M, Bonfiglioli</cp:keywords>
  <dc:description>Press release: New 300 series in 20 sizes by Bonfiglioli</dc:description>
  <cp:lastModifiedBy>Emanuela Sardo</cp:lastModifiedBy>
  <cp:revision>4</cp:revision>
  <dcterms:created xsi:type="dcterms:W3CDTF">2019-02-26T13:10:00Z</dcterms:created>
  <dcterms:modified xsi:type="dcterms:W3CDTF">2019-03-06T07:41:00Z</dcterms:modified>
  <cp:category>Press release</cp:category>
</cp:coreProperties>
</file>